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线上教学优秀案例遴选报送信息表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市（</w:t>
      </w:r>
      <w:r>
        <w:rPr>
          <w:rFonts w:hint="eastAsia"/>
          <w:sz w:val="28"/>
          <w:szCs w:val="28"/>
          <w:lang w:eastAsia="zh-CN"/>
        </w:rPr>
        <w:t>州</w:t>
      </w:r>
      <w:r>
        <w:rPr>
          <w:rFonts w:hint="eastAsia"/>
          <w:sz w:val="28"/>
          <w:szCs w:val="28"/>
        </w:rPr>
        <w:t>）</w:t>
      </w: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98"/>
        <w:gridCol w:w="2750"/>
        <w:gridCol w:w="1313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案例名称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r>
        <w:rPr>
          <w:rFonts w:hint="eastAsia"/>
        </w:rPr>
        <w:t xml:space="preserve">报送人：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单位及</w:t>
      </w:r>
      <w:r>
        <w:rPr>
          <w:rFonts w:hint="eastAsia"/>
        </w:rPr>
        <w:t>职务：                     联系方式：</w:t>
      </w:r>
    </w:p>
    <w:p>
      <w:pPr>
        <w:wordWrap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2021-10-25T07:45:18Z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E270EE5235844BCEA0ECABC1E5C48902</vt:lpwstr>
  </property>
</Properties>
</file>